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6B" w:rsidRDefault="00BC5718">
      <w:pPr>
        <w:shd w:val="clear" w:color="auto" w:fill="FFFFFF"/>
        <w:spacing w:before="192" w:after="148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11111"/>
          <w:kern w:val="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kern w:val="3"/>
          <w:sz w:val="32"/>
          <w:szCs w:val="32"/>
          <w:lang w:eastAsia="ru-RU"/>
        </w:rPr>
        <w:t>Экстремизм и терроризм: различия понятий через их законодательное отражение и соотношение с антиобщественным поведением</w:t>
      </w:r>
    </w:p>
    <w:p w:rsidR="009F226B" w:rsidRDefault="00BC5718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Сегодня понятия “экстремизм” и “терроризм” на слуху практически у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каждого, но немногие смогут объяснить, чем первое отличается от второго.</w:t>
      </w:r>
    </w:p>
    <w:p w:rsidR="009F226B" w:rsidRDefault="00BC5718">
      <w:pPr>
        <w:shd w:val="clear" w:color="auto" w:fill="FFFFFF"/>
        <w:spacing w:before="480" w:after="186" w:line="240" w:lineRule="auto"/>
        <w:jc w:val="both"/>
        <w:outlineLvl w:val="1"/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экстремизм</w:t>
      </w:r>
      <w:proofErr w:type="gram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к</w:t>
      </w:r>
      <w:proofErr w:type="spellEnd"/>
    </w:p>
    <w:p w:rsidR="009F226B" w:rsidRDefault="009F226B">
      <w:pPr>
        <w:shd w:val="clear" w:color="auto" w:fill="FFFFFF"/>
        <w:spacing w:after="0" w:line="240" w:lineRule="auto"/>
        <w:jc w:val="both"/>
      </w:pPr>
      <w:hyperlink r:id="rId7" w:history="1">
        <w:r w:rsidR="00BC5718">
          <w:rPr>
            <w:rFonts w:ascii="Times New Roman" w:eastAsia="Times New Roman" w:hAnsi="Times New Roman"/>
            <w:color w:val="111111"/>
            <w:sz w:val="28"/>
            <w:szCs w:val="28"/>
            <w:u w:val="single"/>
            <w:lang w:eastAsia="ru-RU"/>
          </w:rPr>
          <w:t>Экстремизм</w:t>
        </w:r>
      </w:hyperlink>
      <w:r w:rsidR="00BC57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(от лат. </w:t>
      </w:r>
      <w:proofErr w:type="spellStart"/>
      <w:r w:rsidR="00BC57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extremus</w:t>
      </w:r>
      <w:proofErr w:type="spellEnd"/>
      <w:r w:rsidR="00BC57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— крайний) можно определить,</w:t>
      </w:r>
      <w:r w:rsidR="00BC57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как приверженность лиц или групп лиц к крайним, радикальным взглядам, которые касаются общественной жизни (чаще её политической сферы).</w:t>
      </w:r>
    </w:p>
    <w:p w:rsidR="009F226B" w:rsidRDefault="00BC5718">
      <w:pPr>
        <w:shd w:val="clear" w:color="auto" w:fill="FFFFFF"/>
        <w:spacing w:after="408" w:line="240" w:lineRule="auto"/>
        <w:jc w:val="both"/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Примерами экстремизма служат насильственное изменение основ конституционного строя и нарушение целостности России, публ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ичное оправдание террористических действий, возбуждение розни социального, расового, </w:t>
      </w:r>
      <w:hyperlink r:id="rId8" w:history="1">
        <w:r>
          <w:rPr>
            <w:rFonts w:ascii="Times New Roman" w:eastAsia="Times New Roman" w:hAnsi="Times New Roman"/>
            <w:color w:val="111111"/>
            <w:sz w:val="28"/>
            <w:szCs w:val="28"/>
            <w:u w:val="single"/>
            <w:lang w:eastAsia="ru-RU"/>
          </w:rPr>
          <w:t>национального</w:t>
        </w:r>
      </w:hyperlink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или </w:t>
      </w:r>
      <w:hyperlink r:id="rId9" w:history="1">
        <w:r>
          <w:rPr>
            <w:rFonts w:ascii="Times New Roman" w:eastAsia="Times New Roman" w:hAnsi="Times New Roman"/>
            <w:color w:val="111111"/>
            <w:sz w:val="28"/>
            <w:szCs w:val="28"/>
            <w:u w:val="single"/>
            <w:lang w:eastAsia="ru-RU"/>
          </w:rPr>
          <w:t>религиозного характера</w:t>
        </w:r>
      </w:hyperlink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 другая деятельность, которая угрожает безопасности общества, а также нарушает права и свободы многих граждан, имея под собой для этого четкое идеологическое основание.</w:t>
      </w:r>
    </w:p>
    <w:p w:rsidR="009F226B" w:rsidRDefault="00BC5718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Борьба с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экстремизмом регулируется Федеральным законом РФ “О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противодействии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экстремистской деятельности” от 25.07.2002 и ведется в двух направлениях:</w:t>
      </w:r>
    </w:p>
    <w:p w:rsidR="009F226B" w:rsidRDefault="00BC5718">
      <w:pPr>
        <w:numPr>
          <w:ilvl w:val="0"/>
          <w:numId w:val="1"/>
        </w:num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проведение профилактических мер, предупреждающих экстремистскую деятельность;</w:t>
      </w:r>
    </w:p>
    <w:p w:rsidR="009F226B" w:rsidRDefault="00BC5718">
      <w:pPr>
        <w:numPr>
          <w:ilvl w:val="0"/>
          <w:numId w:val="1"/>
        </w:num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выявление, предупреждение и пресечен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ие экстремизма, исходящего от физических и юридических лиц.</w:t>
      </w:r>
    </w:p>
    <w:p w:rsidR="009F226B" w:rsidRDefault="00BC571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государственной политики противодействия экстремизму определяются Президентом РФ, сама же политика осуществляется Правительством РФ, органами исполнительной власти на федеральном уровне и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ровне субъектов, а также органами местного самоуправления. На официальном уровне проводятся воспитательные, пропагандистские мероприятия, направленные против экстремизма и всех его проявлений.</w:t>
      </w:r>
    </w:p>
    <w:p w:rsidR="009F226B" w:rsidRDefault="00BC5718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случае наличия подтвержденных сведений о готовящихся действия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 экстремистского характера в игру вступает прокурор, который объявляет в письменном виде предостережение о недопустимости таких действий организации или лицу.</w:t>
      </w:r>
    </w:p>
    <w:p w:rsidR="009F226B" w:rsidRDefault="00BC5718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же экстремистские действия уже осуществлены, то виновные несут ответственность. Организации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(в частности, общественные, религиозные объединения, СМИ) могут быть ликвидированы, а их деятельность запрещается судом. Физические лица повергаются уголовному наказанию:</w:t>
      </w:r>
    </w:p>
    <w:p w:rsidR="009F226B" w:rsidRDefault="00BC5718">
      <w:pPr>
        <w:numPr>
          <w:ilvl w:val="0"/>
          <w:numId w:val="2"/>
        </w:numPr>
        <w:shd w:val="clear" w:color="auto" w:fill="FFFFFF"/>
        <w:spacing w:before="168" w:after="168" w:line="240" w:lineRule="auto"/>
        <w:jc w:val="both"/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lastRenderedPageBreak/>
        <w:t>по ст. 280 УК РФ за публичный призыв к экстремизму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(квалифицируется как преступление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средней тяжести).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Наказываются: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лет, либо арестом на срок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от четырех до шести месяцев, либо лишением свободы на срок до четырех лет с лишением права занимать определенные должности или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заниматься определенной деятельностью на тот же срок;</w:t>
      </w:r>
    </w:p>
    <w:p w:rsidR="009F226B" w:rsidRDefault="00BC5718">
      <w:pPr>
        <w:numPr>
          <w:ilvl w:val="0"/>
          <w:numId w:val="2"/>
        </w:numPr>
        <w:shd w:val="clear" w:color="auto" w:fill="FFFFFF"/>
        <w:spacing w:before="168" w:after="168" w:line="240" w:lineRule="auto"/>
        <w:jc w:val="both"/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 ст. 282.1 УК РФ за организацию экстремистского сообщества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(тяжкое прест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упление), а также за </w:t>
      </w:r>
      <w:hyperlink r:id="rId10" w:history="1">
        <w:r>
          <w:rPr>
            <w:rFonts w:ascii="Times New Roman" w:eastAsia="Times New Roman" w:hAnsi="Times New Roman"/>
            <w:color w:val="111111"/>
            <w:sz w:val="28"/>
            <w:szCs w:val="28"/>
            <w:u w:val="single"/>
            <w:lang w:eastAsia="ru-RU"/>
          </w:rPr>
          <w:t>вербовку</w:t>
        </w:r>
      </w:hyperlink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и участие в организациях экстремистского толка (преступления небольшой и средней тяжести).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Наказываются: штрафом в размере от четырехсот тысяч до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стью на срок до десяти лет и с ограничением свободы на срок от одного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года до двух лет;</w:t>
      </w:r>
    </w:p>
    <w:p w:rsidR="009F226B" w:rsidRDefault="00BC5718">
      <w:pPr>
        <w:numPr>
          <w:ilvl w:val="0"/>
          <w:numId w:val="2"/>
        </w:numPr>
        <w:shd w:val="clear" w:color="auto" w:fill="FFFFFF"/>
        <w:spacing w:before="168" w:after="168" w:line="240" w:lineRule="auto"/>
        <w:jc w:val="both"/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 ст. 282.2 УК РФ за организацию деятельности объединения, которое уже ранее было признано экстремистским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(тяжкое преступление).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Наказываются: штрафом в размере от чет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ленной деятельностью на срок до десяти лет и с ограничением свободы на срок от одного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года до двух лет;</w:t>
      </w:r>
    </w:p>
    <w:p w:rsidR="009F226B" w:rsidRDefault="00BC5718">
      <w:pPr>
        <w:numPr>
          <w:ilvl w:val="0"/>
          <w:numId w:val="2"/>
        </w:numPr>
        <w:shd w:val="clear" w:color="auto" w:fill="FFFFFF"/>
        <w:spacing w:before="168" w:after="168" w:line="240" w:lineRule="auto"/>
        <w:jc w:val="both"/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 ст. 282.3 УК РФ за финансирование экстремистской деятельности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(тяжкое преступление).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Наказываются: штрафом в размере от трехсот тысяч до семисот тыся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стью на срок до трех лет или без такового и с ограничением свободы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срок до одного года, либо лишением свободы на срок от трех до восьми лет.</w:t>
      </w:r>
    </w:p>
    <w:p w:rsidR="009F226B" w:rsidRDefault="00BC5718">
      <w:pPr>
        <w:shd w:val="clear" w:color="auto" w:fill="FFFFFF"/>
        <w:spacing w:before="480" w:after="186" w:line="240" w:lineRule="auto"/>
        <w:jc w:val="both"/>
        <w:outlineLvl w:val="1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Что такое терроризм?</w:t>
      </w:r>
    </w:p>
    <w:p w:rsidR="009F226B" w:rsidRDefault="009F226B">
      <w:pPr>
        <w:shd w:val="clear" w:color="auto" w:fill="FFFFFF"/>
        <w:spacing w:after="408" w:line="240" w:lineRule="auto"/>
        <w:jc w:val="both"/>
      </w:pPr>
      <w:hyperlink r:id="rId11" w:history="1">
        <w:r w:rsidR="00BC5718">
          <w:rPr>
            <w:rFonts w:ascii="Times New Roman" w:eastAsia="Times New Roman" w:hAnsi="Times New Roman"/>
            <w:color w:val="111111"/>
            <w:sz w:val="28"/>
            <w:szCs w:val="28"/>
            <w:u w:val="single"/>
            <w:lang w:eastAsia="ru-RU"/>
          </w:rPr>
          <w:t>Терроризм</w:t>
        </w:r>
      </w:hyperlink>
      <w:r w:rsidR="00BC57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(от лат. </w:t>
      </w:r>
      <w:proofErr w:type="spellStart"/>
      <w:r w:rsidR="00BC57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terror</w:t>
      </w:r>
      <w:proofErr w:type="spellEnd"/>
      <w:r w:rsidR="00BC57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— страх, ужас) – это идеология насилия и практика воздействия на принятие решения организациями международного сообщества, государственными органами, органами местного </w:t>
      </w:r>
      <w:r w:rsidR="00BC57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самоуправления, осуществляемые через устрашение населения и (или) через</w:t>
      </w:r>
      <w:r w:rsidR="00BC57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другие формы противоправных </w:t>
      </w:r>
      <w:hyperlink r:id="rId12" w:history="1">
        <w:r w:rsidR="00BC5718">
          <w:rPr>
            <w:rFonts w:ascii="Times New Roman" w:eastAsia="Times New Roman" w:hAnsi="Times New Roman"/>
            <w:color w:val="111111"/>
            <w:sz w:val="28"/>
            <w:szCs w:val="28"/>
            <w:u w:val="single"/>
            <w:lang w:eastAsia="ru-RU"/>
          </w:rPr>
          <w:t>насильственных действий</w:t>
        </w:r>
      </w:hyperlink>
      <w:r w:rsidR="00BC57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9F226B" w:rsidRDefault="00BC5718">
      <w:pPr>
        <w:shd w:val="clear" w:color="auto" w:fill="F2F5F9"/>
        <w:spacing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Ключевой элемент терроризма – это страх, который террористы рассеивают в обществе своими внезапными актами.</w:t>
      </w:r>
    </w:p>
    <w:p w:rsidR="009F226B" w:rsidRDefault="00BC5718">
      <w:pPr>
        <w:shd w:val="clear" w:color="auto" w:fill="FFFFFF"/>
        <w:spacing w:after="408" w:line="240" w:lineRule="auto"/>
        <w:jc w:val="both"/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Феде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ральный закон РФ “О противодействии терроризму” от 06.03.2006 детально определяет все аспекты борьбы с терроризмом.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Здесь, как и в случае с экстремизмом, Президент РФ определяет государственную политику в данной сфере, а Правительство РФ вместе с органами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исполнительной власти и органами местного самоуправления её реализуют.</w:t>
      </w:r>
    </w:p>
    <w:p w:rsidR="009F226B" w:rsidRDefault="00BC5718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При борьбе с терроризмом могут применяться Вооруженные Силы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РФ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как в России, так и за её пределами.</w:t>
      </w:r>
    </w:p>
    <w:p w:rsidR="009F226B" w:rsidRDefault="00BC571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пресечения террористического акта проводится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контртеррористическая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операция. На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ерритории её осуществления может вводиться специальный ограничительный правовой режим для рядовых граждан с целью поддержания безопасности. Сама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контртеррористическая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операция реализуется силами ФСБ и её специальными группами.</w:t>
      </w:r>
    </w:p>
    <w:p w:rsidR="009F226B" w:rsidRDefault="00BC5718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Организация, признанная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террористической, подлежит ликвидации, а её деятельность запрещается решением суда. Физическое лицо, признанное виновным в осуществлении террористической деятельности, несет уголовную ответственность:</w:t>
      </w:r>
    </w:p>
    <w:p w:rsidR="009F226B" w:rsidRDefault="00BC5718">
      <w:pPr>
        <w:numPr>
          <w:ilvl w:val="0"/>
          <w:numId w:val="3"/>
        </w:numPr>
        <w:shd w:val="clear" w:color="auto" w:fill="FFFFFF"/>
        <w:spacing w:before="168" w:after="168" w:line="240" w:lineRule="auto"/>
        <w:jc w:val="both"/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 ст. 205 УК РФ за совершение террористического акта к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ак единолично, так и в составе группы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(особо тяжкое преступление). Наказывается: лишением свободы на срок от десяти до пятнадцати лет;</w:t>
      </w:r>
    </w:p>
    <w:p w:rsidR="009F226B" w:rsidRDefault="00BC5718">
      <w:pPr>
        <w:numPr>
          <w:ilvl w:val="0"/>
          <w:numId w:val="3"/>
        </w:numPr>
        <w:shd w:val="clear" w:color="auto" w:fill="FFFFFF"/>
        <w:spacing w:before="168" w:after="168" w:line="240" w:lineRule="auto"/>
        <w:jc w:val="both"/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 ст. 205.1 УК РФ за содействие террористической деятельности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включающей склонение, вербовку или вовлечение лица в указ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анную деятельность (тяжкое преступление). Наказывается: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такового;</w:t>
      </w:r>
    </w:p>
    <w:p w:rsidR="009F226B" w:rsidRDefault="00BC5718">
      <w:pPr>
        <w:numPr>
          <w:ilvl w:val="0"/>
          <w:numId w:val="3"/>
        </w:numPr>
        <w:shd w:val="clear" w:color="auto" w:fill="FFFFFF"/>
        <w:spacing w:before="168" w:after="168" w:line="240" w:lineRule="auto"/>
        <w:jc w:val="both"/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ст. 205.2 УК РФ за публичный призыв к осуществлению деятельности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носящей террористических характер или публичное оправдание терроризма, пропаганду терроризма (преступление средней тяжести).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Наказывается: штрафом в размере от ста тысяч до пятисот тысяч ру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блей либо в размере заработной платы или иного дохода осужденного за период до трех лет либо лишением свободы на срок от двух до пяти лет;</w:t>
      </w:r>
      <w:proofErr w:type="gramEnd"/>
    </w:p>
    <w:p w:rsidR="009F226B" w:rsidRDefault="00BC5718">
      <w:pPr>
        <w:numPr>
          <w:ilvl w:val="0"/>
          <w:numId w:val="3"/>
        </w:numPr>
        <w:shd w:val="clear" w:color="auto" w:fill="FFFFFF"/>
        <w:spacing w:before="168" w:after="168" w:line="240" w:lineRule="auto"/>
        <w:jc w:val="both"/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lastRenderedPageBreak/>
        <w:t>по ст. 205.3 УК РФ за прохождение обучения в целях осуществления террористической деятельности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(особо тяжкое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преступление). Наказываются: лишением свободы на срок от пятнадцати до двадцати лет с ограничением свободы на срок от одного года до двух лет или пожизненным лишением свободы;</w:t>
      </w:r>
    </w:p>
    <w:p w:rsidR="009F226B" w:rsidRDefault="00BC5718">
      <w:pPr>
        <w:numPr>
          <w:ilvl w:val="0"/>
          <w:numId w:val="3"/>
        </w:numPr>
        <w:shd w:val="clear" w:color="auto" w:fill="FFFFFF"/>
        <w:spacing w:before="168" w:after="168" w:line="240" w:lineRule="auto"/>
        <w:jc w:val="both"/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 ст. 205.4 УК РФ за организацию террористического сообщества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 участие в нем (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особо тяжкое преступление).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Наказывается: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нием свободы на срок от одного года до двух лет или пожизненным лишением свободы;</w:t>
      </w:r>
      <w:proofErr w:type="gramEnd"/>
    </w:p>
    <w:p w:rsidR="009F226B" w:rsidRDefault="00BC5718">
      <w:pPr>
        <w:numPr>
          <w:ilvl w:val="0"/>
          <w:numId w:val="3"/>
        </w:numPr>
        <w:shd w:val="clear" w:color="auto" w:fill="FFFFFF"/>
        <w:spacing w:before="168" w:after="168" w:line="240" w:lineRule="auto"/>
        <w:jc w:val="both"/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 ст. 205.5 УК РФ за организацию работы террористической организации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и участие в ней (особо тяжкое преступление).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Наказывается: лишением свободы на срок от пятнадцати до два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свободы;</w:t>
      </w:r>
      <w:proofErr w:type="gramEnd"/>
    </w:p>
    <w:p w:rsidR="009F226B" w:rsidRDefault="00BC5718">
      <w:pPr>
        <w:numPr>
          <w:ilvl w:val="0"/>
          <w:numId w:val="3"/>
        </w:numPr>
        <w:shd w:val="clear" w:color="auto" w:fill="FFFFFF"/>
        <w:spacing w:before="168" w:after="168" w:line="240" w:lineRule="auto"/>
        <w:jc w:val="both"/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 ст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. 205.6 УК РФ за несообщение о преступлении террористического характера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(преступление небольшой тяжести). Наказывается: штрафом в размере до ста тысяч рублей или в размере заработной платы или иного дохода осужденного за период до шести месяцев либо принуд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ительными работами на срок до одного года, либо лишением свободы на тот же срок;</w:t>
      </w:r>
    </w:p>
    <w:p w:rsidR="009F226B" w:rsidRDefault="00BC5718">
      <w:pPr>
        <w:numPr>
          <w:ilvl w:val="0"/>
          <w:numId w:val="3"/>
        </w:numPr>
        <w:shd w:val="clear" w:color="auto" w:fill="FFFFFF"/>
        <w:spacing w:before="168" w:after="168" w:line="240" w:lineRule="auto"/>
        <w:jc w:val="both"/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 ст. 361 за совершение террористического акта вне территории РФ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(особо тяжкое преступление). Наказывается: лишением свободы на срок от десяти до двадцати лет либо пожизненны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 лишением свободы.</w:t>
      </w:r>
    </w:p>
    <w:p w:rsidR="009F226B" w:rsidRDefault="00BC5718">
      <w:pPr>
        <w:shd w:val="clear" w:color="auto" w:fill="FFFFFF"/>
        <w:spacing w:before="480" w:after="186" w:line="240" w:lineRule="auto"/>
        <w:jc w:val="both"/>
        <w:outlineLvl w:val="1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Сходства и отличия экстремизма и терроризма</w:t>
      </w:r>
    </w:p>
    <w:p w:rsidR="009F226B" w:rsidRDefault="00BC5718">
      <w:pPr>
        <w:shd w:val="clear" w:color="auto" w:fill="FFFFFF"/>
        <w:spacing w:after="408" w:line="240" w:lineRule="auto"/>
        <w:jc w:val="both"/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Понятия “экстремизм” и “терроризм” взаимосвязаны.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Терроризм – составная часть экстремизма, один из видов его проявлений, непосредственно связанный с насилием или </w:t>
      </w:r>
      <w:hyperlink r:id="rId13" w:history="1">
        <w:r>
          <w:rPr>
            <w:rFonts w:ascii="Times New Roman" w:eastAsia="Times New Roman" w:hAnsi="Times New Roman"/>
            <w:color w:val="111111"/>
            <w:sz w:val="28"/>
            <w:szCs w:val="28"/>
            <w:u w:val="single"/>
            <w:lang w:eastAsia="ru-RU"/>
          </w:rPr>
          <w:t>угрозой насилия</w:t>
        </w:r>
      </w:hyperlink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и воздействием на государство. Экстремизм же шире: он включает и такую деятельность, которая не является насильственной, но все равно грубо нарушает права и свободы граждан,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имея под этим идеологическую подоплёку (например, публичное заведомо </w:t>
      </w:r>
      <w:hyperlink r:id="rId14" w:history="1">
        <w:r>
          <w:rPr>
            <w:rFonts w:ascii="Times New Roman" w:eastAsia="Times New Roman" w:hAnsi="Times New Roman"/>
            <w:color w:val="111111"/>
            <w:sz w:val="28"/>
            <w:szCs w:val="28"/>
            <w:u w:val="single"/>
            <w:lang w:eastAsia="ru-RU"/>
          </w:rPr>
          <w:t>ложное обвинение</w:t>
        </w:r>
      </w:hyperlink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лица, замещающего государственную должность РФ).</w:t>
      </w:r>
    </w:p>
    <w:p w:rsidR="009F226B" w:rsidRDefault="00BC571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терроризм, и экстрем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 предполагают приверженность к радикальным воззрениям и угрожающим насилием или применяющим его практикам,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дискриминирующим других людей по каким-либо признакам и негативно влияющим на общество.</w:t>
      </w:r>
    </w:p>
    <w:p w:rsidR="009F226B" w:rsidRDefault="00BC5718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УК РФ преступления, связанные с экстремизмом и терроризм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ом, относят к разным видам:</w:t>
      </w:r>
    </w:p>
    <w:p w:rsidR="009F226B" w:rsidRDefault="00BC5718">
      <w:pPr>
        <w:numPr>
          <w:ilvl w:val="0"/>
          <w:numId w:val="4"/>
        </w:numPr>
        <w:shd w:val="clear" w:color="auto" w:fill="FFFFFF"/>
        <w:spacing w:before="168" w:after="168" w:line="240" w:lineRule="auto"/>
        <w:jc w:val="both"/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деятельность экстремистского характера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– преступление против </w:t>
      </w:r>
      <w:hyperlink r:id="rId15" w:history="1">
        <w:r>
          <w:rPr>
            <w:rFonts w:ascii="Times New Roman" w:eastAsia="Times New Roman" w:hAnsi="Times New Roman"/>
            <w:color w:val="111111"/>
            <w:sz w:val="28"/>
            <w:szCs w:val="28"/>
            <w:u w:val="single"/>
            <w:lang w:eastAsia="ru-RU"/>
          </w:rPr>
          <w:t>государственной власти</w:t>
        </w:r>
      </w:hyperlink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9F226B" w:rsidRDefault="00BC5718">
      <w:pPr>
        <w:numPr>
          <w:ilvl w:val="0"/>
          <w:numId w:val="4"/>
        </w:numPr>
        <w:shd w:val="clear" w:color="auto" w:fill="FFFFFF"/>
        <w:spacing w:before="168" w:after="168" w:line="240" w:lineRule="auto"/>
        <w:jc w:val="both"/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деятельность террористического характера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реступлен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ие против общественной безопасности, а также преступление против мира и </w:t>
      </w:r>
      <w:hyperlink r:id="rId16" w:history="1">
        <w:r>
          <w:rPr>
            <w:rFonts w:ascii="Times New Roman" w:eastAsia="Times New Roman" w:hAnsi="Times New Roman"/>
            <w:color w:val="111111"/>
            <w:sz w:val="28"/>
            <w:szCs w:val="28"/>
            <w:u w:val="single"/>
            <w:lang w:eastAsia="ru-RU"/>
          </w:rPr>
          <w:t>безопасности человечества</w:t>
        </w:r>
      </w:hyperlink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(если террористический акт совершен гражданином РФ за пределами ст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раны).</w:t>
      </w:r>
    </w:p>
    <w:p w:rsidR="009F226B" w:rsidRDefault="00BC5718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Таким образом, законодатель подчеркивает особенности данных явлений.</w:t>
      </w:r>
    </w:p>
    <w:p w:rsidR="009F226B" w:rsidRDefault="00BC571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Экстремизм направлен, в первую очередь, на негативные преобразования политического пространства (человеческие жертвы здесь необязательны), в то время как терроризм ставит своей цел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ью дестабилизацию состояния общества в целом.</w:t>
      </w:r>
    </w:p>
    <w:p w:rsidR="009F226B" w:rsidRDefault="00BC5718">
      <w:pPr>
        <w:shd w:val="clear" w:color="auto" w:fill="FFFFFF"/>
        <w:spacing w:before="480" w:after="186" w:line="240" w:lineRule="auto"/>
        <w:jc w:val="both"/>
        <w:outlineLvl w:val="1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Связь между антиобщественным поведением, экстремизмом и терроризмом</w:t>
      </w:r>
    </w:p>
    <w:p w:rsidR="009F226B" w:rsidRDefault="00BC5718">
      <w:pPr>
        <w:shd w:val="clear" w:color="auto" w:fill="000033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РЕКЛАМА</w:t>
      </w:r>
    </w:p>
    <w:p w:rsidR="009F226B" w:rsidRDefault="00BC5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</w:p>
    <w:p w:rsidR="009F226B" w:rsidRDefault="00BC5718">
      <w:pPr>
        <w:shd w:val="clear" w:color="auto" w:fill="FFFFFF"/>
        <w:spacing w:after="408" w:line="240" w:lineRule="auto"/>
        <w:jc w:val="both"/>
      </w:pP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Антиобщественное (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девиантное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 поведение – это поведение, несоответствующее общественным нормам (правовым, моральным, </w:t>
      </w:r>
      <w:hyperlink r:id="rId17" w:history="1">
        <w:r>
          <w:rPr>
            <w:rFonts w:ascii="Times New Roman" w:eastAsia="Times New Roman" w:hAnsi="Times New Roman"/>
            <w:color w:val="111111"/>
            <w:sz w:val="28"/>
            <w:szCs w:val="28"/>
            <w:u w:val="single"/>
            <w:lang w:eastAsia="ru-RU"/>
          </w:rPr>
          <w:t>культурным</w:t>
        </w:r>
      </w:hyperlink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Такое поведение лежит в основе всех преступлений, в том числе связанных с экстремизмом и терроризмом. Если подходить к вопросу с понятийной стороны, то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антиобщественное поведение охват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ывает экстремизм, который, в свою очередь, включает в себя терроризм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9F226B" w:rsidRDefault="00BC5718">
      <w:pPr>
        <w:shd w:val="clear" w:color="auto" w:fill="FFFFFF"/>
        <w:spacing w:line="240" w:lineRule="auto"/>
        <w:jc w:val="both"/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экстремизм, и терроризм являются разрушительными общественными силами, негативно влияющими на сознание своих приверженцев и мешающими ходу обычной жизнедеятельности остальных людей. Пр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отивостоять этим преступлениям намного сложнее, чем, например, </w:t>
      </w:r>
      <w:hyperlink r:id="rId18" w:history="1">
        <w:r>
          <w:rPr>
            <w:rFonts w:ascii="Times New Roman" w:eastAsia="Times New Roman" w:hAnsi="Times New Roman"/>
            <w:color w:val="111111"/>
            <w:sz w:val="28"/>
            <w:szCs w:val="28"/>
            <w:u w:val="single"/>
            <w:lang w:eastAsia="ru-RU"/>
          </w:rPr>
          <w:t>кражам</w:t>
        </w:r>
      </w:hyperlink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или даже убийствам, так как изначально умысел экстремизма и терроризма кроется в идее причинения вред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как можно большему количеству людей и всему обществу в целом. Поэтому экстремизм и терроризм – это не сугубо личное дело тех людей, которые столкнулись с этим в жизни, а дело каждого из нас.</w:t>
      </w:r>
    </w:p>
    <w:p w:rsidR="009F226B" w:rsidRDefault="009F226B">
      <w:pPr>
        <w:jc w:val="both"/>
      </w:pPr>
    </w:p>
    <w:sectPr w:rsidR="009F226B" w:rsidSect="009F226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18" w:rsidRDefault="00BC5718" w:rsidP="009F226B">
      <w:pPr>
        <w:spacing w:after="0" w:line="240" w:lineRule="auto"/>
      </w:pPr>
      <w:r>
        <w:separator/>
      </w:r>
    </w:p>
  </w:endnote>
  <w:endnote w:type="continuationSeparator" w:id="0">
    <w:p w:rsidR="00BC5718" w:rsidRDefault="00BC5718" w:rsidP="009F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18" w:rsidRDefault="00BC5718" w:rsidP="009F226B">
      <w:pPr>
        <w:spacing w:after="0" w:line="240" w:lineRule="auto"/>
      </w:pPr>
      <w:r w:rsidRPr="009F226B">
        <w:rPr>
          <w:color w:val="000000"/>
        </w:rPr>
        <w:separator/>
      </w:r>
    </w:p>
  </w:footnote>
  <w:footnote w:type="continuationSeparator" w:id="0">
    <w:p w:rsidR="00BC5718" w:rsidRDefault="00BC5718" w:rsidP="009F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59C"/>
    <w:multiLevelType w:val="multilevel"/>
    <w:tmpl w:val="49A8125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189074A9"/>
    <w:multiLevelType w:val="multilevel"/>
    <w:tmpl w:val="73A4E1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21CB1C33"/>
    <w:multiLevelType w:val="multilevel"/>
    <w:tmpl w:val="3336F1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3EC25BCE"/>
    <w:multiLevelType w:val="multilevel"/>
    <w:tmpl w:val="6D667C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26B"/>
    <w:rsid w:val="009F226B"/>
    <w:rsid w:val="00BC5718"/>
    <w:rsid w:val="00C6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26B"/>
    <w:pPr>
      <w:suppressAutoHyphens/>
    </w:pPr>
  </w:style>
  <w:style w:type="paragraph" w:styleId="1">
    <w:name w:val="heading 1"/>
    <w:basedOn w:val="a"/>
    <w:rsid w:val="009F226B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ru-RU"/>
    </w:rPr>
  </w:style>
  <w:style w:type="paragraph" w:styleId="2">
    <w:name w:val="heading 2"/>
    <w:basedOn w:val="a"/>
    <w:rsid w:val="009F226B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F226B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Заголовок 2 Знак"/>
    <w:basedOn w:val="a0"/>
    <w:rsid w:val="009F2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time">
    <w:name w:val="entry-time"/>
    <w:basedOn w:val="a0"/>
    <w:rsid w:val="009F226B"/>
  </w:style>
  <w:style w:type="character" w:customStyle="1" w:styleId="entry-label">
    <w:name w:val="entry-label"/>
    <w:basedOn w:val="a0"/>
    <w:rsid w:val="009F226B"/>
  </w:style>
  <w:style w:type="character" w:customStyle="1" w:styleId="js-views-count">
    <w:name w:val="js-views-count"/>
    <w:basedOn w:val="a0"/>
    <w:rsid w:val="009F226B"/>
  </w:style>
  <w:style w:type="character" w:customStyle="1" w:styleId="entry-date">
    <w:name w:val="entry-date"/>
    <w:basedOn w:val="a0"/>
    <w:rsid w:val="009F226B"/>
  </w:style>
  <w:style w:type="paragraph" w:customStyle="1" w:styleId="a3">
    <w:name w:val="Обычный (Интернет)"/>
    <w:basedOn w:val="a"/>
    <w:rsid w:val="009F226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rsid w:val="009F226B"/>
    <w:rPr>
      <w:b/>
      <w:bCs/>
    </w:rPr>
  </w:style>
  <w:style w:type="character" w:styleId="a5">
    <w:name w:val="Hyperlink"/>
    <w:basedOn w:val="a0"/>
    <w:rsid w:val="009F226B"/>
    <w:rPr>
      <w:color w:val="0000FF"/>
      <w:u w:val="single"/>
    </w:rPr>
  </w:style>
  <w:style w:type="character" w:customStyle="1" w:styleId="table-of-contentshide">
    <w:name w:val="table-of-contents__hide"/>
    <w:basedOn w:val="a0"/>
    <w:rsid w:val="009F226B"/>
  </w:style>
  <w:style w:type="character" w:customStyle="1" w:styleId="oc6mbax">
    <w:name w:val="oc6mbax"/>
    <w:basedOn w:val="a0"/>
    <w:rsid w:val="009F22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team/uk-i-koap/protiv-lichnosti/oskorblenie/natsii-i-natsionalnosti.html" TargetMode="External"/><Relationship Id="rId13" Type="http://schemas.openxmlformats.org/officeDocument/2006/relationships/hyperlink" Target="https://pravo.team/uk-i-koap/protiv-lichnosti/ugrozy/primeneniya-nasiliya.html" TargetMode="External"/><Relationship Id="rId18" Type="http://schemas.openxmlformats.org/officeDocument/2006/relationships/hyperlink" Target="https://pravo.team/uk-i-koap/protiv-sobstvennosti/krazha/deng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team/uk-i-koap/gosudarstvennaya-bezopasnost/ekstrimizm/molodeznyj.html" TargetMode="External"/><Relationship Id="rId12" Type="http://schemas.openxmlformats.org/officeDocument/2006/relationships/hyperlink" Target="https://pravo.team/uk-i-koap/protiv-lichnosti/ugrozy/iznasilovaniya.html" TargetMode="External"/><Relationship Id="rId17" Type="http://schemas.openxmlformats.org/officeDocument/2006/relationships/hyperlink" Target="https://pravo.team/uk-i-koap/vandaliz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.team/uk-i-koap/protiv-lichnosti/ugrozy/pravam-chelovek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.team/uk-i-koap/protiv-lichnosti/ugrozy/vzryv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.team/uk-i-koap/ugolovnyj-kodeks/gosudarstvennaj-izmena.html" TargetMode="External"/><Relationship Id="rId10" Type="http://schemas.openxmlformats.org/officeDocument/2006/relationships/hyperlink" Target="https://pravo.team/uk-i-koap/ugolovnyj-kodeks/naemnicestvo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.team/uk-i-koap/protiv-lichnosti/oskorblenie/veruyushhih.html" TargetMode="External"/><Relationship Id="rId14" Type="http://schemas.openxmlformats.org/officeDocument/2006/relationships/hyperlink" Target="https://pravo.team/uk-i-koap/protiv-lichnosti/kleveta/zavedomo-lozhnyj-dono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10093</Characters>
  <Application>Microsoft Office Word</Application>
  <DocSecurity>0</DocSecurity>
  <Lines>84</Lines>
  <Paragraphs>23</Paragraphs>
  <ScaleCrop>false</ScaleCrop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Гутарева</dc:creator>
  <cp:lastModifiedBy>Пользователь Windows</cp:lastModifiedBy>
  <cp:revision>2</cp:revision>
  <dcterms:created xsi:type="dcterms:W3CDTF">2021-10-24T12:04:00Z</dcterms:created>
  <dcterms:modified xsi:type="dcterms:W3CDTF">2021-10-24T12:04:00Z</dcterms:modified>
</cp:coreProperties>
</file>